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C4" w:rsidRDefault="005975C4" w:rsidP="009A129B">
      <w:pPr>
        <w:pStyle w:val="ConsPlusTitle"/>
        <w:jc w:val="center"/>
      </w:pPr>
      <w:r>
        <w:t xml:space="preserve">СОВЕТ СЕЛЬСКОГО ПОСЕЛЕНИЯ </w:t>
      </w:r>
      <w:r w:rsidR="009A129B">
        <w:t>БАДРЯШЕВСКИЙ</w:t>
      </w:r>
      <w:r>
        <w:t xml:space="preserve"> СЕЛЬСОВЕТ</w:t>
      </w:r>
      <w:r w:rsidR="009A129B">
        <w:t xml:space="preserve"> </w:t>
      </w:r>
      <w:r>
        <w:t xml:space="preserve">МУНИЦИПАЛЬНОГО РАЙОНА </w:t>
      </w:r>
      <w:r w:rsidR="009A129B">
        <w:t>БАДРЯШЕВСКИЙ</w:t>
      </w:r>
      <w:r>
        <w:t xml:space="preserve"> РАЙОН</w:t>
      </w:r>
      <w:r w:rsidR="009A129B">
        <w:t xml:space="preserve"> </w:t>
      </w:r>
      <w:r>
        <w:t>РЕСПУБЛИКИ БАШКОРТОСТАН</w:t>
      </w:r>
    </w:p>
    <w:p w:rsidR="005975C4" w:rsidRDefault="005975C4">
      <w:pPr>
        <w:pStyle w:val="ConsPlusTitle"/>
        <w:jc w:val="center"/>
      </w:pPr>
    </w:p>
    <w:p w:rsidR="005975C4" w:rsidRPr="009A129B" w:rsidRDefault="005975C4">
      <w:pPr>
        <w:pStyle w:val="ConsPlusTitle"/>
        <w:jc w:val="center"/>
        <w:rPr>
          <w:sz w:val="28"/>
        </w:rPr>
      </w:pPr>
      <w:r w:rsidRPr="009A129B">
        <w:rPr>
          <w:sz w:val="28"/>
        </w:rPr>
        <w:t>РЕШЕНИЕ</w:t>
      </w:r>
    </w:p>
    <w:p w:rsidR="005975C4" w:rsidRDefault="009A129B" w:rsidP="009A129B">
      <w:pPr>
        <w:pStyle w:val="ConsPlusTitle"/>
      </w:pPr>
      <w:r>
        <w:t>29-созыв                                                                                                                               26-заседание</w:t>
      </w:r>
    </w:p>
    <w:p w:rsidR="009A129B" w:rsidRDefault="009A129B">
      <w:pPr>
        <w:pStyle w:val="ConsPlusTitle"/>
        <w:jc w:val="center"/>
      </w:pPr>
    </w:p>
    <w:p w:rsidR="005975C4" w:rsidRDefault="009A129B">
      <w:pPr>
        <w:pStyle w:val="ConsPlusTitle"/>
        <w:jc w:val="center"/>
      </w:pPr>
      <w:r>
        <w:t>«</w:t>
      </w:r>
      <w:r w:rsidR="005975C4">
        <w:t>ОБ УСТАНОВЛЕНИИ НАЛОГА НА ИМУЩЕСТВО ФИЗИЧЕСКИХ ЛИЦ</w:t>
      </w:r>
    </w:p>
    <w:p w:rsidR="005975C4" w:rsidRDefault="005975C4">
      <w:pPr>
        <w:pStyle w:val="ConsPlusTitle"/>
        <w:jc w:val="center"/>
      </w:pPr>
      <w:r>
        <w:t xml:space="preserve">НА ТЕРРИТОРИИ СЕЛЬСКОГО ПОСЕЛЕНИЯ </w:t>
      </w:r>
      <w:r w:rsidR="009A129B">
        <w:t>БАДРЯШЕВСКИЙ</w:t>
      </w:r>
      <w:r>
        <w:t xml:space="preserve"> СЕЛЬСОВЕТ</w:t>
      </w:r>
    </w:p>
    <w:p w:rsidR="005975C4" w:rsidRDefault="005975C4">
      <w:pPr>
        <w:pStyle w:val="ConsPlusTitle"/>
        <w:jc w:val="center"/>
      </w:pPr>
      <w:r>
        <w:t>МУНИЦИПАЛЬНОГО РАЙОНА ТАТЫШЛИНСКИЙРАЙОН</w:t>
      </w:r>
    </w:p>
    <w:p w:rsidR="005975C4" w:rsidRDefault="005975C4">
      <w:pPr>
        <w:pStyle w:val="ConsPlusTitle"/>
        <w:jc w:val="center"/>
      </w:pPr>
      <w:r>
        <w:t>РЕСПУБЛИКИ БАШКОРТОСТАН</w:t>
      </w:r>
      <w:r w:rsidR="009A129B">
        <w:t>»</w:t>
      </w:r>
    </w:p>
    <w:p w:rsidR="005975C4" w:rsidRDefault="005975C4">
      <w:pPr>
        <w:pStyle w:val="ConsPlusNormal"/>
        <w:jc w:val="center"/>
      </w:pPr>
    </w:p>
    <w:p w:rsidR="005975C4" w:rsidRPr="009A129B" w:rsidRDefault="005975C4" w:rsidP="005975C4">
      <w:pPr>
        <w:pStyle w:val="ConsPlusNormal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 xml:space="preserve">В соответствии с федеральными законами от 6 октября 2003 года </w:t>
      </w:r>
      <w:hyperlink r:id="rId4">
        <w:r w:rsidRPr="009A129B">
          <w:rPr>
            <w:color w:val="0000FF"/>
            <w:sz w:val="28"/>
          </w:rPr>
          <w:t>N 131-ФЗ</w:t>
        </w:r>
      </w:hyperlink>
      <w:r w:rsidRPr="009A129B">
        <w:rPr>
          <w:sz w:val="28"/>
        </w:rPr>
        <w:t xml:space="preserve"> "Об общих принципах организации местного самоуправления в Российской Федерации", от 4 октября 2014 года </w:t>
      </w:r>
      <w:hyperlink r:id="rId5">
        <w:r w:rsidRPr="009A129B">
          <w:rPr>
            <w:color w:val="0000FF"/>
            <w:sz w:val="28"/>
          </w:rPr>
          <w:t>N 284-ФЗ</w:t>
        </w:r>
      </w:hyperlink>
      <w:r w:rsidRPr="009A129B">
        <w:rPr>
          <w:sz w:val="28"/>
        </w:rPr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6">
        <w:r w:rsidRPr="009A129B">
          <w:rPr>
            <w:color w:val="0000FF"/>
            <w:sz w:val="28"/>
          </w:rPr>
          <w:t>главой 32</w:t>
        </w:r>
      </w:hyperlink>
      <w:r w:rsidRPr="009A129B">
        <w:rPr>
          <w:sz w:val="28"/>
        </w:rPr>
        <w:t xml:space="preserve"> части второй Налогового кодекса Российской Федерации, </w:t>
      </w:r>
      <w:hyperlink r:id="rId7">
        <w:r w:rsidRPr="009A129B">
          <w:rPr>
            <w:color w:val="0000FF"/>
            <w:sz w:val="28"/>
          </w:rPr>
          <w:t>Законом</w:t>
        </w:r>
      </w:hyperlink>
      <w:r w:rsidRPr="009A129B">
        <w:rPr>
          <w:sz w:val="28"/>
        </w:rPr>
        <w:t xml:space="preserve"> Республики Башкортостан от 30 октября 2014 года N 142-з "Об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 налогообложения", Совет сельского поселения </w:t>
      </w:r>
      <w:r w:rsidR="009A129B" w:rsidRPr="009A129B">
        <w:rPr>
          <w:sz w:val="28"/>
        </w:rPr>
        <w:t>Бадряшевский</w:t>
      </w:r>
      <w:r w:rsidRPr="009A129B">
        <w:rPr>
          <w:sz w:val="28"/>
        </w:rPr>
        <w:t xml:space="preserve"> сельсовет муниципального района Татышлинский район Республики Башкортостан пятого созыва решил: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 xml:space="preserve">1. Ввести на территории сельского поселения </w:t>
      </w:r>
      <w:r w:rsidR="009A129B" w:rsidRPr="009A129B">
        <w:rPr>
          <w:sz w:val="28"/>
        </w:rPr>
        <w:t>Бадряшевский</w:t>
      </w:r>
      <w:r w:rsidRPr="009A129B">
        <w:rPr>
          <w:sz w:val="28"/>
        </w:rPr>
        <w:t xml:space="preserve"> сельсовет муниципального района Татышлинский район Республики Башкортостан налог на имущество физических лиц (далее - налог), определить налоговые ставки, налоговые льготы.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2. Установить следующие налоговые ставки по налогу: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2.1. 0,1 процента в отношении: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- жилых домов, частей жилых домов;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- объектов незавершенного строительства в случае, если проектируемым назначением таких объектов является жилой дом,</w:t>
      </w:r>
      <w:r w:rsidRPr="009A129B">
        <w:rPr>
          <w:color w:val="000000"/>
          <w:sz w:val="28"/>
          <w:szCs w:val="27"/>
        </w:rPr>
        <w:t xml:space="preserve"> за исключением объектов незавершенного строительства, проектируемым назначением которых является многоквартирный </w:t>
      </w:r>
      <w:proofErr w:type="gramStart"/>
      <w:r w:rsidRPr="009A129B">
        <w:rPr>
          <w:color w:val="000000"/>
          <w:sz w:val="28"/>
          <w:szCs w:val="27"/>
        </w:rPr>
        <w:t>дом</w:t>
      </w:r>
      <w:r w:rsidRPr="009A129B">
        <w:rPr>
          <w:sz w:val="28"/>
        </w:rPr>
        <w:t xml:space="preserve"> ;</w:t>
      </w:r>
      <w:proofErr w:type="gramEnd"/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- квартир, частей квартир, комнат;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- единых недвижимых комплексов, в состав которых входит хотя бы один жилой дом;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 xml:space="preserve">- гаражей и машино-мест, в том числе расположенных в объектах налогообложения, указанных в </w:t>
      </w:r>
      <w:hyperlink r:id="rId8">
        <w:r w:rsidRPr="009A129B">
          <w:rPr>
            <w:color w:val="0000FF"/>
            <w:sz w:val="28"/>
          </w:rPr>
          <w:t>подпункте 2 пункта 2 статьи 406</w:t>
        </w:r>
      </w:hyperlink>
      <w:r w:rsidRPr="009A129B">
        <w:rPr>
          <w:sz w:val="28"/>
        </w:rPr>
        <w:t xml:space="preserve"> Налогового кодекса Российской Федерации;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</w:t>
      </w:r>
      <w:r w:rsidRPr="009A129B">
        <w:rPr>
          <w:sz w:val="28"/>
        </w:rPr>
        <w:lastRenderedPageBreak/>
        <w:t>дачного хозяйства, огородничества, садоводства или индивидуального жилищного строительства.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 xml:space="preserve">2.2. 2 процента в отношении объектов налогообложения, включенных в перечень, определяемый в соответствии с </w:t>
      </w:r>
      <w:hyperlink r:id="rId9">
        <w:r w:rsidRPr="009A129B">
          <w:rPr>
            <w:color w:val="0000FF"/>
            <w:sz w:val="28"/>
          </w:rPr>
          <w:t>пунктом 7 статьи 378.2</w:t>
        </w:r>
      </w:hyperlink>
      <w:r w:rsidRPr="009A129B">
        <w:rPr>
          <w:sz w:val="28"/>
        </w:rPr>
        <w:t xml:space="preserve"> Налогового кодекса Российской Федерации, а также в отношении объектов налогообложения, предусмотренных </w:t>
      </w:r>
      <w:hyperlink r:id="rId10">
        <w:r w:rsidRPr="009A129B">
          <w:rPr>
            <w:color w:val="0000FF"/>
            <w:sz w:val="28"/>
          </w:rPr>
          <w:t>абзацем вторым пункта 10 статьи 378.2</w:t>
        </w:r>
      </w:hyperlink>
      <w:r w:rsidRPr="009A129B">
        <w:rPr>
          <w:sz w:val="28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2.3. 0,5 процента в отношении прочих объектов налогообложения.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 xml:space="preserve">3. Установить наряду с категориями налогоплательщиков, указанными в </w:t>
      </w:r>
      <w:hyperlink r:id="rId11">
        <w:r w:rsidRPr="009A129B">
          <w:rPr>
            <w:color w:val="0000FF"/>
            <w:sz w:val="28"/>
          </w:rPr>
          <w:t>пункте 1 статьи 407</w:t>
        </w:r>
      </w:hyperlink>
      <w:r w:rsidRPr="009A129B">
        <w:rPr>
          <w:sz w:val="28"/>
        </w:rPr>
        <w:t xml:space="preserve"> Налогового кодекса Российской Федерации, право на льготу следующим категориям налогоплательщиков, освободив их от уплаты налога на имущество физических лиц: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3.1. Физические лица, имеющие трех и более несовершеннолетних детей (детей в возрасте до 23 лет, обучающихся в образовательных организациях по очной форме обучения).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3.2. Дети в многодетных семьях (имеющих трех и более детей) в возрасте до 18 лет, а также лица из числа указанных лиц в возрасте до 24 лет, обучающиеся по очной форме обучения в организациях, осуществляющих образовательную деятельность, имеющих лицензию на осуществление образовательной деятельности.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5975C4" w:rsidRPr="009A129B" w:rsidRDefault="005975C4" w:rsidP="005975C4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 xml:space="preserve">4. Признать утратившим силу </w:t>
      </w:r>
      <w:hyperlink r:id="rId12">
        <w:r w:rsidRPr="009A129B">
          <w:rPr>
            <w:color w:val="0000FF"/>
            <w:sz w:val="28"/>
          </w:rPr>
          <w:t>решение</w:t>
        </w:r>
      </w:hyperlink>
      <w:r w:rsidRPr="009A129B">
        <w:rPr>
          <w:sz w:val="28"/>
        </w:rPr>
        <w:t xml:space="preserve"> Совета сельского поселения </w:t>
      </w:r>
      <w:r w:rsidR="009A129B" w:rsidRPr="009A129B">
        <w:rPr>
          <w:sz w:val="28"/>
        </w:rPr>
        <w:t>Бадряшевский</w:t>
      </w:r>
      <w:r w:rsidRPr="009A129B">
        <w:rPr>
          <w:sz w:val="28"/>
        </w:rPr>
        <w:t xml:space="preserve"> сельсовет муниципального района Татышлинский район Республики Башкортостан от </w:t>
      </w:r>
      <w:r w:rsidR="0027723A">
        <w:rPr>
          <w:sz w:val="28"/>
        </w:rPr>
        <w:t>08</w:t>
      </w:r>
      <w:r w:rsidRPr="009A129B">
        <w:rPr>
          <w:sz w:val="28"/>
        </w:rPr>
        <w:t xml:space="preserve"> ноября 2019 года N </w:t>
      </w:r>
      <w:r w:rsidR="0027723A">
        <w:rPr>
          <w:sz w:val="28"/>
        </w:rPr>
        <w:t>37</w:t>
      </w:r>
      <w:r w:rsidRPr="009A129B">
        <w:rPr>
          <w:sz w:val="28"/>
        </w:rPr>
        <w:t xml:space="preserve"> "Об установлении налога на имущество физических лиц на территории сельского поселения </w:t>
      </w:r>
      <w:r w:rsidR="009A129B" w:rsidRPr="009A129B">
        <w:rPr>
          <w:sz w:val="28"/>
        </w:rPr>
        <w:t>Бадряшевский</w:t>
      </w:r>
      <w:r w:rsidRPr="009A129B">
        <w:rPr>
          <w:sz w:val="28"/>
        </w:rPr>
        <w:t xml:space="preserve"> сельсовет муниципального района Татышлинский район Республики Башкортостан".</w:t>
      </w:r>
    </w:p>
    <w:p w:rsidR="00D0780D" w:rsidRDefault="005975C4" w:rsidP="00D0780D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 xml:space="preserve">5. Настоящее решение обнародовать путем размещения на информационном стенде в здании Администрации сельского поселения </w:t>
      </w:r>
      <w:r w:rsidR="009A129B" w:rsidRPr="009A129B">
        <w:rPr>
          <w:sz w:val="28"/>
        </w:rPr>
        <w:t>Бадряшевский</w:t>
      </w:r>
      <w:r w:rsidRPr="009A129B">
        <w:rPr>
          <w:sz w:val="28"/>
        </w:rPr>
        <w:t xml:space="preserve"> сельсовет муниципального района Татышлинский район Республики Башкортостан по адресу: </w:t>
      </w:r>
      <w:r w:rsidR="0027723A">
        <w:rPr>
          <w:sz w:val="28"/>
        </w:rPr>
        <w:t>д</w:t>
      </w:r>
      <w:r w:rsidRPr="009A129B">
        <w:rPr>
          <w:sz w:val="28"/>
        </w:rPr>
        <w:t xml:space="preserve">. </w:t>
      </w:r>
      <w:proofErr w:type="spellStart"/>
      <w:r w:rsidR="0027723A">
        <w:rPr>
          <w:sz w:val="28"/>
        </w:rPr>
        <w:t>Бадряшево</w:t>
      </w:r>
      <w:proofErr w:type="spellEnd"/>
      <w:r w:rsidRPr="009A129B">
        <w:rPr>
          <w:sz w:val="28"/>
        </w:rPr>
        <w:t xml:space="preserve">, </w:t>
      </w:r>
      <w:proofErr w:type="spellStart"/>
      <w:r w:rsidRPr="009A129B">
        <w:rPr>
          <w:sz w:val="28"/>
        </w:rPr>
        <w:t>ул.</w:t>
      </w:r>
      <w:r w:rsidR="0027723A">
        <w:rPr>
          <w:sz w:val="28"/>
        </w:rPr>
        <w:t>Центральная</w:t>
      </w:r>
      <w:proofErr w:type="spellEnd"/>
      <w:r w:rsidRPr="009A129B">
        <w:rPr>
          <w:sz w:val="28"/>
        </w:rPr>
        <w:t xml:space="preserve">, д. </w:t>
      </w:r>
      <w:r w:rsidR="0027723A">
        <w:rPr>
          <w:sz w:val="28"/>
        </w:rPr>
        <w:t>19</w:t>
      </w:r>
      <w:bookmarkStart w:id="0" w:name="_GoBack"/>
      <w:bookmarkEnd w:id="0"/>
      <w:r w:rsidRPr="009A129B">
        <w:rPr>
          <w:sz w:val="28"/>
        </w:rPr>
        <w:t xml:space="preserve">, и разместить на официальном сайте администрации сельского поселения </w:t>
      </w:r>
      <w:r w:rsidR="009A129B" w:rsidRPr="009A129B">
        <w:rPr>
          <w:sz w:val="28"/>
        </w:rPr>
        <w:t>Бадряшевский</w:t>
      </w:r>
      <w:r w:rsidRPr="009A129B">
        <w:rPr>
          <w:sz w:val="28"/>
        </w:rPr>
        <w:t xml:space="preserve"> сельсовет муниципального района </w:t>
      </w:r>
      <w:proofErr w:type="spellStart"/>
      <w:r w:rsidRPr="009A129B">
        <w:rPr>
          <w:sz w:val="28"/>
        </w:rPr>
        <w:t>Татышлинский</w:t>
      </w:r>
      <w:proofErr w:type="spellEnd"/>
      <w:r w:rsidRPr="009A129B">
        <w:rPr>
          <w:sz w:val="28"/>
        </w:rPr>
        <w:t xml:space="preserve"> район </w:t>
      </w:r>
      <w:r w:rsidRPr="009A129B">
        <w:rPr>
          <w:sz w:val="28"/>
        </w:rPr>
        <w:lastRenderedPageBreak/>
        <w:t>Республики Башкортост</w:t>
      </w:r>
      <w:r w:rsidR="009A129B">
        <w:rPr>
          <w:sz w:val="28"/>
        </w:rPr>
        <w:t>ан</w:t>
      </w:r>
    </w:p>
    <w:p w:rsidR="005975C4" w:rsidRPr="009A129B" w:rsidRDefault="005975C4" w:rsidP="00D0780D">
      <w:pPr>
        <w:pStyle w:val="ConsPlusNormal"/>
        <w:spacing w:before="240"/>
        <w:ind w:firstLine="709"/>
        <w:contextualSpacing/>
        <w:jc w:val="both"/>
        <w:rPr>
          <w:sz w:val="28"/>
        </w:rPr>
      </w:pPr>
      <w:r w:rsidRPr="009A129B">
        <w:rPr>
          <w:sz w:val="28"/>
        </w:rPr>
        <w:t>.6. Настоящее решение вступает в силу со дня его официального обнародования в средствах массовой информации и распространяется на правоотношения, возникшие с 01.01.2026.</w:t>
      </w:r>
    </w:p>
    <w:p w:rsidR="005975C4" w:rsidRPr="009A129B" w:rsidRDefault="005975C4" w:rsidP="005975C4">
      <w:pPr>
        <w:pStyle w:val="ConsPlusNormal"/>
        <w:ind w:firstLine="709"/>
        <w:contextualSpacing/>
        <w:rPr>
          <w:sz w:val="28"/>
        </w:rPr>
      </w:pPr>
    </w:p>
    <w:p w:rsidR="009A129B" w:rsidRDefault="009A129B" w:rsidP="005975C4">
      <w:pPr>
        <w:pStyle w:val="ConsPlusNormal"/>
        <w:ind w:firstLine="709"/>
        <w:contextualSpacing/>
      </w:pPr>
    </w:p>
    <w:p w:rsidR="005975C4" w:rsidRDefault="009A129B" w:rsidP="005975C4">
      <w:pPr>
        <w:pStyle w:val="ConsPlusNormal"/>
        <w:ind w:firstLine="709"/>
        <w:contextualSpacing/>
      </w:pPr>
      <w:proofErr w:type="spellStart"/>
      <w:r>
        <w:t>И.о.</w:t>
      </w:r>
      <w:r w:rsidR="005975C4">
        <w:t>Глав</w:t>
      </w:r>
      <w:r>
        <w:t>ы</w:t>
      </w:r>
      <w:proofErr w:type="spellEnd"/>
    </w:p>
    <w:p w:rsidR="005975C4" w:rsidRDefault="005975C4" w:rsidP="005975C4">
      <w:pPr>
        <w:pStyle w:val="ConsPlusNormal"/>
        <w:ind w:firstLine="709"/>
        <w:contextualSpacing/>
      </w:pPr>
      <w:r>
        <w:t xml:space="preserve">сельского поселения                                                                                  </w:t>
      </w:r>
    </w:p>
    <w:p w:rsidR="005975C4" w:rsidRDefault="009A129B" w:rsidP="005975C4">
      <w:pPr>
        <w:pStyle w:val="ConsPlusNormal"/>
        <w:ind w:firstLine="709"/>
        <w:contextualSpacing/>
      </w:pPr>
      <w:r>
        <w:t>Бадряшевский</w:t>
      </w:r>
      <w:r w:rsidR="005975C4">
        <w:t xml:space="preserve"> сельсовет</w:t>
      </w:r>
    </w:p>
    <w:p w:rsidR="009A129B" w:rsidRDefault="005975C4" w:rsidP="005975C4">
      <w:pPr>
        <w:pStyle w:val="ConsPlusNormal"/>
        <w:ind w:firstLine="709"/>
        <w:contextualSpacing/>
      </w:pPr>
      <w:r>
        <w:t xml:space="preserve">муниципального района </w:t>
      </w:r>
    </w:p>
    <w:p w:rsidR="005975C4" w:rsidRDefault="005975C4" w:rsidP="005975C4">
      <w:pPr>
        <w:pStyle w:val="ConsPlusNormal"/>
        <w:ind w:firstLine="709"/>
        <w:contextualSpacing/>
      </w:pPr>
      <w:proofErr w:type="spellStart"/>
      <w:r>
        <w:t>Татышлинский</w:t>
      </w:r>
      <w:proofErr w:type="spellEnd"/>
      <w:r>
        <w:t xml:space="preserve"> район </w:t>
      </w:r>
      <w:proofErr w:type="gramStart"/>
      <w:r>
        <w:t>РБ</w:t>
      </w:r>
      <w:r w:rsidR="009A129B">
        <w:t xml:space="preserve">:   </w:t>
      </w:r>
      <w:proofErr w:type="gramEnd"/>
      <w:r w:rsidR="009A129B">
        <w:t xml:space="preserve">                                                                  </w:t>
      </w:r>
      <w:proofErr w:type="spellStart"/>
      <w:r w:rsidR="009A129B">
        <w:t>Е.А.Мухаматдинова</w:t>
      </w:r>
      <w:proofErr w:type="spellEnd"/>
    </w:p>
    <w:p w:rsidR="005975C4" w:rsidRDefault="005975C4" w:rsidP="005975C4">
      <w:pPr>
        <w:pStyle w:val="ConsPlusNormal"/>
        <w:ind w:firstLine="709"/>
        <w:contextualSpacing/>
        <w:jc w:val="both"/>
      </w:pPr>
    </w:p>
    <w:p w:rsidR="005975C4" w:rsidRDefault="005975C4">
      <w:pPr>
        <w:pStyle w:val="ConsPlusNormal"/>
        <w:jc w:val="both"/>
      </w:pPr>
    </w:p>
    <w:p w:rsidR="0027723A" w:rsidRDefault="0027723A">
      <w:pPr>
        <w:pStyle w:val="ConsPlusNormal"/>
        <w:jc w:val="both"/>
      </w:pPr>
    </w:p>
    <w:p w:rsidR="0027723A" w:rsidRDefault="0027723A">
      <w:pPr>
        <w:pStyle w:val="ConsPlusNormal"/>
        <w:jc w:val="both"/>
      </w:pPr>
    </w:p>
    <w:p w:rsidR="0027723A" w:rsidRDefault="0027723A">
      <w:pPr>
        <w:pStyle w:val="ConsPlusNormal"/>
        <w:jc w:val="both"/>
      </w:pPr>
    </w:p>
    <w:p w:rsidR="009A129B" w:rsidRPr="009A129B" w:rsidRDefault="009A129B">
      <w:pPr>
        <w:pStyle w:val="ConsPlusNormal"/>
        <w:jc w:val="both"/>
        <w:rPr>
          <w:b/>
        </w:rPr>
      </w:pPr>
      <w:r w:rsidRPr="009A129B">
        <w:rPr>
          <w:b/>
        </w:rPr>
        <w:t>«06» февраля 2026 г.</w:t>
      </w:r>
    </w:p>
    <w:p w:rsidR="009A129B" w:rsidRPr="009A129B" w:rsidRDefault="009A129B">
      <w:pPr>
        <w:pStyle w:val="ConsPlusNormal"/>
        <w:jc w:val="both"/>
        <w:rPr>
          <w:b/>
        </w:rPr>
      </w:pPr>
      <w:r w:rsidRPr="009A129B">
        <w:rPr>
          <w:b/>
        </w:rPr>
        <w:t>№ 173</w:t>
      </w:r>
    </w:p>
    <w:p w:rsidR="009A129B" w:rsidRPr="009A129B" w:rsidRDefault="009A129B">
      <w:pPr>
        <w:pStyle w:val="ConsPlusNormal"/>
        <w:jc w:val="both"/>
        <w:rPr>
          <w:b/>
        </w:rPr>
      </w:pPr>
      <w:proofErr w:type="spellStart"/>
      <w:r w:rsidRPr="009A129B">
        <w:rPr>
          <w:b/>
        </w:rPr>
        <w:t>д.Бадряшево</w:t>
      </w:r>
      <w:proofErr w:type="spellEnd"/>
    </w:p>
    <w:p w:rsidR="009A129B" w:rsidRDefault="009A129B">
      <w:pPr>
        <w:pStyle w:val="ConsPlusNormal"/>
        <w:jc w:val="both"/>
      </w:pPr>
    </w:p>
    <w:p w:rsidR="009A129B" w:rsidRDefault="009A129B">
      <w:pPr>
        <w:pStyle w:val="ConsPlusNormal"/>
        <w:jc w:val="both"/>
      </w:pPr>
    </w:p>
    <w:p w:rsidR="009A129B" w:rsidRDefault="009A129B">
      <w:pPr>
        <w:pStyle w:val="ConsPlusNormal"/>
        <w:jc w:val="both"/>
      </w:pPr>
    </w:p>
    <w:p w:rsidR="009A129B" w:rsidRDefault="009A129B">
      <w:pPr>
        <w:pStyle w:val="ConsPlusNormal"/>
        <w:jc w:val="both"/>
      </w:pPr>
    </w:p>
    <w:p w:rsidR="009A129B" w:rsidRDefault="009A129B">
      <w:pPr>
        <w:pStyle w:val="ConsPlusNormal"/>
        <w:jc w:val="both"/>
      </w:pPr>
    </w:p>
    <w:p w:rsidR="005975C4" w:rsidRDefault="005975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5C4" w:rsidRDefault="005975C4"/>
    <w:sectPr w:rsidR="005975C4" w:rsidSect="0059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C4"/>
    <w:rsid w:val="0027723A"/>
    <w:rsid w:val="005975C4"/>
    <w:rsid w:val="009A129B"/>
    <w:rsid w:val="00CF1AF8"/>
    <w:rsid w:val="00D0780D"/>
    <w:rsid w:val="00D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2931"/>
  <w15:chartTrackingRefBased/>
  <w15:docId w15:val="{8D772BA1-C0E3-4233-B13E-CA708B11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5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5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5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5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5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5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5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5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5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5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5C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97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97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975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5528&amp;dst=264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94873" TargetMode="External"/><Relationship Id="rId12" Type="http://schemas.openxmlformats.org/officeDocument/2006/relationships/hyperlink" Target="https://login.consultant.ru/link/?req=doc&amp;base=RLAW140&amp;n=1835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5528&amp;dst=10318" TargetMode="External"/><Relationship Id="rId11" Type="http://schemas.openxmlformats.org/officeDocument/2006/relationships/hyperlink" Target="https://login.consultant.ru/link/?req=doc&amp;base=RZR&amp;n=525528&amp;dst=10386" TargetMode="External"/><Relationship Id="rId5" Type="http://schemas.openxmlformats.org/officeDocument/2006/relationships/hyperlink" Target="https://login.consultant.ru/link/?req=doc&amp;base=RZR&amp;n=169428" TargetMode="External"/><Relationship Id="rId10" Type="http://schemas.openxmlformats.org/officeDocument/2006/relationships/hyperlink" Target="https://login.consultant.ru/link/?req=doc&amp;base=RZR&amp;n=525528&amp;dst=28395" TargetMode="External"/><Relationship Id="rId4" Type="http://schemas.openxmlformats.org/officeDocument/2006/relationships/hyperlink" Target="https://login.consultant.ru/link/?req=doc&amp;base=RZR&amp;n=501480&amp;dst=1142" TargetMode="External"/><Relationship Id="rId9" Type="http://schemas.openxmlformats.org/officeDocument/2006/relationships/hyperlink" Target="https://login.consultant.ru/link/?req=doc&amp;base=RZR&amp;n=525528&amp;dst=283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Бадряшевский с.совет</cp:lastModifiedBy>
  <cp:revision>2</cp:revision>
  <cp:lastPrinted>2026-02-13T09:28:00Z</cp:lastPrinted>
  <dcterms:created xsi:type="dcterms:W3CDTF">2026-02-17T05:13:00Z</dcterms:created>
  <dcterms:modified xsi:type="dcterms:W3CDTF">2026-02-17T05:13:00Z</dcterms:modified>
</cp:coreProperties>
</file>